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2025年大连市小学体育与健康学科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课堂教学优秀课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评选方案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评选宗旨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通过评选，深化课堂教学改革，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落实2022版义务教育课程标准，</w:t>
      </w:r>
      <w:r>
        <w:rPr>
          <w:rFonts w:hint="eastAsia" w:asciiTheme="minorEastAsia" w:hAnsiTheme="minorEastAsia" w:eastAsiaTheme="minorEastAsia" w:cstheme="minorEastAsia"/>
          <w:sz w:val="24"/>
        </w:rPr>
        <w:t>创新教育教学模式和方法，推进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大连市</w:t>
      </w:r>
      <w:r>
        <w:rPr>
          <w:rFonts w:hint="eastAsia" w:asciiTheme="minorEastAsia" w:hAnsiTheme="minorEastAsia" w:eastAsiaTheme="minorEastAsia" w:cstheme="minorEastAsia"/>
          <w:sz w:val="24"/>
        </w:rPr>
        <w:t>小学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体育与健康</w:t>
      </w:r>
      <w:r>
        <w:rPr>
          <w:rFonts w:hint="eastAsia" w:asciiTheme="minorEastAsia" w:hAnsiTheme="minorEastAsia" w:eastAsiaTheme="minorEastAsia" w:cstheme="minorEastAsia"/>
          <w:sz w:val="24"/>
        </w:rPr>
        <w:t>学科课堂教学研究，提高教育教学质量；通过评选，搭建教师专业成长的平台，促进我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市</w:t>
      </w:r>
      <w:r>
        <w:rPr>
          <w:rFonts w:hint="eastAsia" w:asciiTheme="minorEastAsia" w:hAnsiTheme="minorEastAsia" w:eastAsiaTheme="minorEastAsia" w:cstheme="minorEastAsia"/>
          <w:sz w:val="24"/>
        </w:rPr>
        <w:t>小学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体育与健康</w:t>
      </w:r>
      <w:r>
        <w:rPr>
          <w:rFonts w:hint="eastAsia" w:asciiTheme="minorEastAsia" w:hAnsiTheme="minorEastAsia" w:eastAsiaTheme="minorEastAsia" w:cstheme="minorEastAsia"/>
          <w:sz w:val="24"/>
        </w:rPr>
        <w:t>学科教师队伍建设，提升教师的专业素质和教学水平。同时，通过评选引领教研员对学科课堂教学的实施开展持续研究，积累教研案例，提炼经验，提高教研水平。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落实新教材，打造新课堂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评选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范围与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本次评选包括体育课、健康教育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lang w:val="en-US" w:eastAsia="zh-CN"/>
        </w:rPr>
        <w:t>课两大类。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具体条件如下：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</w:rPr>
        <w:t>本职工作，师德和业务水平得到本校师生广泛认可，按时保质完成相应的业务培训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eastAsia="宋体" w:asciiTheme="minorEastAsia" w:hAnsi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2.体育优秀课教师：原则上</w:t>
      </w:r>
      <w:r>
        <w:rPr>
          <w:rFonts w:ascii="宋体" w:hAnsi="宋体" w:eastAsia="宋体" w:cs="宋体"/>
          <w:sz w:val="24"/>
          <w:szCs w:val="24"/>
        </w:rPr>
        <w:t>具有五年（包括五年）以上体育教学经历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720" w:firstLineChars="30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健康教育课教师</w:t>
      </w:r>
      <w:bookmarkStart w:id="0" w:name="OLE_LINK1"/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现任专职或兼职健康教育课教师或校医均可参加</w:t>
      </w:r>
      <w:bookmarkEnd w:id="0"/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</w:rPr>
        <w:t>曾获得过区级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sz w:val="24"/>
        </w:rPr>
        <w:t>优秀课。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四、名额分配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根据评选活动整体安排，按照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各区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本学科</w:t>
      </w:r>
      <w:r>
        <w:rPr>
          <w:rFonts w:hint="eastAsia" w:asciiTheme="minorEastAsia" w:hAnsiTheme="minorEastAsia" w:eastAsiaTheme="minorEastAsia" w:cstheme="minorEastAsia"/>
          <w:sz w:val="24"/>
        </w:rPr>
        <w:t>教师数量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</w:rPr>
        <w:t>推荐出区级的优秀课参评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名额分配如下：</w:t>
      </w:r>
    </w:p>
    <w:tbl>
      <w:tblPr>
        <w:tblStyle w:val="9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区域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中山区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西岗区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沙河口区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甘井子区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高新园区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金普新区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旅顺口区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asciiTheme="minorEastAsia" w:hAnsi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普兰店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区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瓦房店市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庄河市</w:t>
            </w:r>
          </w:p>
        </w:tc>
        <w:tc>
          <w:tcPr>
            <w:tcW w:w="6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长海县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长兴岛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体育课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教育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五、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评选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评选项目包括教学设计、教学实施（课堂教学）、答辩三部分。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1．教学设计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“教学设计”体现教师的教学思路，也反映教师的教学理念。在进行教学设计时，需紧紧围绕学科年度评选活动的主题，充分考虑课程和教学的要求，以及学校和学生的实际情况，要明确呈现本节课教学目标、教学重点与学习难点、教学流程，要求语言准确、行文简练。教学设计占总评分数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</w:rPr>
        <w:t>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2．教学实施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教学实施（课堂教学）是评选活动的重点，主要包括“教学目标与教学要求”“教学内容与教学组织”“教学模式与教学策略”“教师素养与教学技艺”等。原则上是以教学设计为基础，但并不要求教师完全按照教学预设去执行教学任务。教师要根据学生现场互动与反馈，及时调整自己的教学思路，使课堂教学彰显生成性和实效性。课堂教学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应落实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2022版义务教育课程标准和《大连市体育与健康课堂教学基本要求》，</w:t>
      </w:r>
      <w:r>
        <w:rPr>
          <w:rFonts w:hint="eastAsia" w:asciiTheme="minorEastAsia" w:hAnsiTheme="minorEastAsia" w:eastAsiaTheme="minorEastAsia" w:cstheme="minorEastAsia"/>
          <w:sz w:val="24"/>
        </w:rPr>
        <w:t>符合学生的学习规律，符合教学规律。由于现场教学有其不可预知性，如有发生为解决学生的实际学习问题，而不能全部完成教学预设时，教师应根据实际情况及时调整教学容量，不随意拖堂。教学实施占总评分数的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</w:rPr>
        <w:t>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</w:rPr>
        <w:t xml:space="preserve">3．答辩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答辩与课标考试结合，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重点围绕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《体育与健康义务教育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</w:rPr>
        <w:t>课程标准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lang w:val="en-US" w:eastAsia="zh-CN"/>
        </w:rPr>
        <w:t>2022版）》进行出题，组织参评教师集中进行笔试，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答辩占总分数的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、评选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采取学校自荐、各区市县教师进修学校推荐与教育学院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艺体劳研训</w:t>
      </w:r>
      <w:r>
        <w:rPr>
          <w:rFonts w:hint="eastAsia" w:asciiTheme="minorEastAsia" w:hAnsiTheme="minorEastAsia" w:eastAsiaTheme="minorEastAsia" w:cstheme="minorEastAsia"/>
          <w:sz w:val="24"/>
        </w:rPr>
        <w:t>中心评估认定相结合的方式。分三个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阶段</w:t>
      </w:r>
      <w:r>
        <w:rPr>
          <w:rFonts w:hint="eastAsia" w:asciiTheme="minorEastAsia" w:hAnsiTheme="minorEastAsia" w:eastAsiaTheme="minorEastAsia" w:cstheme="minorEastAsia"/>
          <w:sz w:val="24"/>
        </w:rPr>
        <w:t>进行：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1.第一阶段是区域评比</w:t>
      </w:r>
      <w:r>
        <w:rPr>
          <w:rFonts w:hint="eastAsia" w:asciiTheme="minorEastAsia" w:hAnsiTheme="minorEastAsia" w:eastAsiaTheme="minorEastAsia" w:cstheme="minorEastAsia"/>
          <w:sz w:val="24"/>
        </w:rPr>
        <w:t>：符合条件的教师在学校内自愿申报，进修学校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组织申报教师进行区域评比、选拔，评比过程须有过程材料，存档备查，将评比结果</w:t>
      </w:r>
      <w:r>
        <w:rPr>
          <w:rFonts w:hint="eastAsia" w:asciiTheme="minorEastAsia" w:hAnsiTheme="minorEastAsia" w:eastAsiaTheme="minorEastAsia" w:cstheme="minorEastAsia"/>
          <w:sz w:val="24"/>
        </w:rPr>
        <w:t>（按照各区的名额）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推荐</w:t>
      </w:r>
      <w:r>
        <w:rPr>
          <w:rFonts w:hint="eastAsia" w:asciiTheme="minorEastAsia" w:hAnsiTheme="minorEastAsia" w:eastAsiaTheme="minorEastAsia" w:cstheme="minorEastAsia"/>
          <w:sz w:val="24"/>
        </w:rPr>
        <w:t>到大连教育学院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艺体劳研训</w:t>
      </w:r>
      <w:r>
        <w:rPr>
          <w:rFonts w:hint="eastAsia" w:asciiTheme="minorEastAsia" w:hAnsiTheme="minorEastAsia" w:eastAsiaTheme="minorEastAsia" w:cstheme="minorEastAsia"/>
          <w:sz w:val="24"/>
        </w:rPr>
        <w:t>中心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2.第二阶段是市级评比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艺体劳研训中心体育与健康</w:t>
      </w:r>
      <w:r>
        <w:rPr>
          <w:rFonts w:hint="eastAsia" w:asciiTheme="minorEastAsia" w:hAnsiTheme="minorEastAsia" w:eastAsiaTheme="minorEastAsia" w:cstheme="minorEastAsia"/>
          <w:sz w:val="24"/>
        </w:rPr>
        <w:t>学科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24"/>
        </w:rPr>
        <w:t>评审组通过听课、答辩等环节进行评选、确认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市级评比时各区要将参评教师集中在一所学校。评审组成员组成：各县市区教研员及部分教研核心团队成员。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</w:rPr>
        <w:t>第三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阶段</w:t>
      </w:r>
      <w:r>
        <w:rPr>
          <w:rFonts w:hint="eastAsia" w:asciiTheme="minorEastAsia" w:hAnsiTheme="minorEastAsia" w:eastAsiaTheme="minorEastAsia" w:cstheme="minorEastAsia"/>
          <w:sz w:val="24"/>
        </w:rPr>
        <w:t>是表奖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与展示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按规定比例分别评出一、二等奖，择期颁发优秀课证书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并开展优质课评比总结与观摩展示活动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评选要求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（一）教学内容选择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1.体育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区（长兴岛、长海县除外）</w:t>
      </w:r>
      <w:r>
        <w:rPr>
          <w:rFonts w:ascii="宋体" w:hAnsi="宋体" w:eastAsia="宋体" w:cs="宋体"/>
          <w:sz w:val="24"/>
          <w:szCs w:val="24"/>
        </w:rPr>
        <w:t>所报送的课例应分别选自三个不同水平段、不同类别（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基本运动技能、体能/</w:t>
      </w:r>
      <w:r>
        <w:rPr>
          <w:rFonts w:ascii="宋体" w:hAnsi="宋体" w:eastAsia="宋体" w:cs="宋体"/>
          <w:sz w:val="24"/>
          <w:szCs w:val="24"/>
        </w:rPr>
        <w:t>足球和跨学科主题学习分别必选1节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西岗、旅顺在基本运动技能、体能/跨学科主题学习必选1节</w:t>
      </w:r>
      <w:r>
        <w:rPr>
          <w:rFonts w:ascii="宋体" w:hAnsi="宋体" w:eastAsia="宋体" w:cs="宋体"/>
          <w:sz w:val="24"/>
          <w:szCs w:val="24"/>
        </w:rPr>
        <w:t>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教材选择</w:t>
      </w:r>
      <w:r>
        <w:rPr>
          <w:rFonts w:ascii="宋体" w:hAnsi="宋体" w:eastAsia="宋体" w:cs="宋体"/>
          <w:sz w:val="24"/>
          <w:szCs w:val="24"/>
        </w:rPr>
        <w:t>为本地2024年9月份使用的新版《体育与健康教师用书》相关内容。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 xml:space="preserve">健康教育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eastAsia="宋体" w:asciiTheme="minorEastAsia" w:hAnsiTheme="minorEastAsia" w:cstheme="minorEastAsia"/>
          <w:b w:val="0"/>
          <w:bCs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义务教育阶段从本地2024年9月份使用的新版《体育与健康学生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</w:t>
      </w:r>
      <w:r>
        <w:rPr>
          <w:rFonts w:ascii="宋体" w:hAnsi="宋体" w:eastAsia="宋体" w:cs="宋体"/>
          <w:sz w:val="24"/>
          <w:szCs w:val="24"/>
        </w:rPr>
        <w:t>书》一年级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lang w:val="en-US" w:eastAsia="zh-CN"/>
        </w:rPr>
        <w:t>（二）教学实施要求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基于标准：</w:t>
      </w:r>
      <w:r>
        <w:rPr>
          <w:rFonts w:hint="eastAsia" w:asciiTheme="minorEastAsia" w:hAnsiTheme="minorEastAsia" w:eastAsiaTheme="minorEastAsia" w:cstheme="minorEastAsia"/>
          <w:sz w:val="24"/>
        </w:rPr>
        <w:t>基于标准的教学是教师的专业责任，通过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教学设计、教学实施</w:t>
      </w:r>
      <w:r>
        <w:rPr>
          <w:rFonts w:hint="eastAsia" w:asciiTheme="minorEastAsia" w:hAnsiTheme="minorEastAsia" w:eastAsiaTheme="minorEastAsia" w:cstheme="minorEastAsia"/>
          <w:sz w:val="24"/>
        </w:rPr>
        <w:t>和答辩，来判断参赛教师对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lang w:val="en-US"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体育与健康义务教育</w:t>
      </w:r>
      <w:r>
        <w:rPr>
          <w:rFonts w:hint="eastAsia" w:asciiTheme="minorEastAsia" w:hAnsiTheme="minorEastAsia" w:eastAsiaTheme="minorEastAsia" w:cstheme="minorEastAsia"/>
          <w:sz w:val="24"/>
        </w:rPr>
        <w:t>课程标准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2022版）》以及《大连市体育与健康课堂教学基本要求》的掌握</w:t>
      </w:r>
      <w:r>
        <w:rPr>
          <w:rFonts w:hint="eastAsia" w:asciiTheme="minorEastAsia" w:hAnsiTheme="minorEastAsia" w:eastAsiaTheme="minorEastAsia" w:cstheme="minorEastAsia"/>
          <w:sz w:val="24"/>
        </w:rPr>
        <w:t>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育人为本：</w:t>
      </w:r>
      <w:r>
        <w:rPr>
          <w:rFonts w:hint="eastAsia" w:asciiTheme="minorEastAsia" w:hAnsiTheme="minorEastAsia" w:eastAsiaTheme="minorEastAsia" w:cstheme="minorEastAsia"/>
          <w:sz w:val="24"/>
        </w:rPr>
        <w:t>一是立德树人在课堂的体现；二是教师的行为示范。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关注学习：</w:t>
      </w:r>
      <w:r>
        <w:rPr>
          <w:rFonts w:hint="eastAsia" w:asciiTheme="minorEastAsia" w:hAnsiTheme="minorEastAsia" w:eastAsiaTheme="minorEastAsia" w:cstheme="minorEastAsia"/>
          <w:sz w:val="24"/>
        </w:rPr>
        <w:t>围绕学科主题，倡导做中学、学中思、思中得，创设多种复杂的运动情境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，将教师示范讲解与学生自主学练、合作学练和探究学练有机结合，</w:t>
      </w:r>
      <w:r>
        <w:rPr>
          <w:rFonts w:hint="eastAsia" w:asciiTheme="minorEastAsia" w:hAnsiTheme="minorEastAsia" w:eastAsiaTheme="minorEastAsia" w:cstheme="minorEastAsia"/>
          <w:sz w:val="24"/>
        </w:rPr>
        <w:t>体现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学、练、赛、评”一致性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在参赛课评选中，对有违反师德的表现或教学基本要求偏离课程标准的教师实施“一票否决”。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（三）时间安排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2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20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4"/>
        </w:rPr>
        <w:t>年3月大连教育学院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艺体劳研训</w:t>
      </w:r>
      <w:r>
        <w:rPr>
          <w:rFonts w:hint="eastAsia" w:asciiTheme="minorEastAsia" w:hAnsiTheme="minorEastAsia" w:eastAsiaTheme="minorEastAsia" w:cstheme="minorEastAsia"/>
          <w:sz w:val="24"/>
        </w:rPr>
        <w:t>中心各学科下发评选方案，4月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</w:rPr>
        <w:t>日为各区上报截止时间，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5-6</w:t>
      </w:r>
      <w:r>
        <w:rPr>
          <w:rFonts w:hint="eastAsia" w:asciiTheme="minorEastAsia" w:hAnsiTheme="minorEastAsia" w:eastAsiaTheme="minorEastAsia" w:cstheme="minorEastAsia"/>
          <w:sz w:val="24"/>
        </w:rPr>
        <w:t>月为市级评比时间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9-10月份为市级总结、展示、表奖阶段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（四）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上报要求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1.以区域为单位统一上报申报电子材料和纸质材料，材料包括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参评优秀课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一览表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优秀课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参评教师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申报表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加盖申报学校和进修学校公章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单元教学计划和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教学设计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4月21日前，申报电子材料发送给市教研员，申报纸质材料待市级评比时上交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文本格式要求：</w:t>
      </w:r>
      <w:r>
        <w:rPr>
          <w:rFonts w:hint="eastAsia" w:asciiTheme="minorEastAsia" w:hAnsiTheme="minorEastAsia" w:eastAsiaTheme="minorEastAsia" w:cstheme="minorEastAsia"/>
          <w:sz w:val="24"/>
        </w:rPr>
        <w:t>标题3号加粗、正文为4号、小标题4号加粗，楷体，一律用Ａ4纸。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2.健康教育课采取视频方式报送，5月23日前，以区域为单位将视频链接码发送给市教研员。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3.市级评比结束后，体育优秀课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获得一等奖教师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需补交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课堂教学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实录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视频链接码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40" w:firstLineChars="235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大连教育学院  艺体劳研训中心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62" w:firstLineChars="235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小学体育与健康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outlineLvl w:val="9"/>
        <w:rPr>
          <w:rFonts w:hint="eastAsia" w:ascii="宋体" w:hAnsi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                              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年3月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          </w:t>
      </w:r>
    </w:p>
    <w:p>
      <w:pPr>
        <w:spacing w:line="36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</w:p>
    <w:p>
      <w:pPr>
        <w:spacing w:line="360" w:lineRule="auto"/>
        <w:rPr>
          <w:rFonts w:hint="eastAsia" w:ascii="仿宋_GB2312" w:hAnsi="宋体" w:eastAsia="仿宋_GB2312"/>
          <w:bCs/>
          <w:sz w:val="24"/>
          <w:lang w:eastAsia="zh-CN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附表一</w:t>
      </w:r>
      <w:r>
        <w:rPr>
          <w:rFonts w:hint="eastAsia" w:ascii="仿宋_GB2312" w:hAnsi="宋体" w:eastAsia="仿宋_GB2312"/>
          <w:bCs/>
          <w:sz w:val="24"/>
          <w:lang w:eastAsia="zh-CN"/>
        </w:rPr>
        <w:t>《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2025年</w:t>
      </w:r>
      <w:r>
        <w:rPr>
          <w:rFonts w:hint="eastAsia" w:ascii="仿宋_GB2312" w:hAnsi="宋体" w:eastAsia="仿宋_GB2312"/>
          <w:bCs/>
          <w:sz w:val="24"/>
        </w:rPr>
        <w:t>大连市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小学</w:t>
      </w:r>
      <w:r>
        <w:rPr>
          <w:rFonts w:hint="eastAsia" w:ascii="仿宋_GB2312" w:hAnsi="宋体" w:eastAsia="仿宋_GB2312"/>
          <w:bCs/>
          <w:sz w:val="24"/>
        </w:rPr>
        <w:t>体育与健康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优秀课</w:t>
      </w:r>
      <w:r>
        <w:rPr>
          <w:rFonts w:hint="eastAsia" w:ascii="仿宋_GB2312" w:hAnsi="宋体" w:eastAsia="仿宋_GB2312"/>
          <w:bCs/>
          <w:sz w:val="24"/>
        </w:rPr>
        <w:t>参评教师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申报表</w:t>
      </w:r>
      <w:r>
        <w:rPr>
          <w:rFonts w:hint="eastAsia" w:ascii="仿宋_GB2312" w:hAnsi="宋体" w:eastAsia="仿宋_GB2312"/>
          <w:bCs/>
          <w:sz w:val="24"/>
          <w:lang w:eastAsia="zh-CN"/>
        </w:rPr>
        <w:t>》</w:t>
      </w:r>
    </w:p>
    <w:p>
      <w:pPr>
        <w:spacing w:line="360" w:lineRule="auto"/>
        <w:rPr>
          <w:rFonts w:hint="eastAsia"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  <w:lang w:val="en-US" w:eastAsia="zh-CN"/>
        </w:rPr>
        <w:t>附表二</w:t>
      </w:r>
      <w:r>
        <w:rPr>
          <w:rFonts w:hint="eastAsia" w:ascii="仿宋_GB2312" w:hAnsi="宋体" w:eastAsia="仿宋_GB2312"/>
          <w:bCs/>
          <w:sz w:val="24"/>
          <w:lang w:eastAsia="zh-CN"/>
        </w:rPr>
        <w:t>《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2025年</w:t>
      </w:r>
      <w:r>
        <w:rPr>
          <w:rFonts w:hint="eastAsia" w:ascii="仿宋_GB2312" w:hAnsi="宋体" w:eastAsia="仿宋_GB2312"/>
          <w:bCs/>
          <w:sz w:val="24"/>
        </w:rPr>
        <w:t>大连市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小学</w:t>
      </w:r>
      <w:r>
        <w:rPr>
          <w:rFonts w:hint="eastAsia" w:ascii="仿宋_GB2312" w:hAnsi="宋体" w:eastAsia="仿宋_GB2312"/>
          <w:bCs/>
          <w:sz w:val="24"/>
        </w:rPr>
        <w:t>体育与健康参评优秀课一览表</w:t>
      </w:r>
      <w:r>
        <w:rPr>
          <w:rFonts w:hint="eastAsia" w:ascii="仿宋_GB2312" w:hAnsi="宋体" w:eastAsia="仿宋_GB2312"/>
          <w:bCs/>
          <w:sz w:val="24"/>
          <w:lang w:eastAsia="zh-CN"/>
        </w:rPr>
        <w:t>》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附表一：          20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年大连市小学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学科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优秀课参评教师申报表</w:t>
      </w:r>
    </w:p>
    <w:tbl>
      <w:tblPr>
        <w:tblStyle w:val="8"/>
        <w:tblW w:w="884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1080"/>
        <w:gridCol w:w="900"/>
        <w:gridCol w:w="1440"/>
        <w:gridCol w:w="953"/>
        <w:gridCol w:w="976"/>
        <w:gridCol w:w="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出生年月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职称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 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任职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任职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年限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毕 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 校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任教学科及专（兼）职情况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课 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指导教师及单位（1人）</w:t>
            </w:r>
          </w:p>
        </w:tc>
        <w:tc>
          <w:tcPr>
            <w:tcW w:w="2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主要教 学成果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主要科 研成果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学校及区进修意见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学校盖章</w:t>
            </w:r>
          </w:p>
        </w:tc>
        <w:tc>
          <w:tcPr>
            <w:tcW w:w="4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区市县教师进修学校盖章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评审小组意见</w:t>
            </w:r>
          </w:p>
        </w:tc>
        <w:tc>
          <w:tcPr>
            <w:tcW w:w="77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大连市教育学院小学教师教育中心盖章</w:t>
            </w:r>
          </w:p>
        </w:tc>
      </w:tr>
    </w:tbl>
    <w:p>
      <w:pPr>
        <w:spacing w:line="360" w:lineRule="auto"/>
        <w:rPr>
          <w:rFonts w:ascii="宋体" w:eastAsia="宋体"/>
          <w:b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</w:p>
    <w:p>
      <w:pPr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附表二：                   20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区市县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学科参评优秀课一览表</w:t>
      </w:r>
    </w:p>
    <w:tbl>
      <w:tblPr>
        <w:tblStyle w:val="8"/>
        <w:tblW w:w="147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440"/>
        <w:gridCol w:w="1616"/>
        <w:gridCol w:w="2513"/>
        <w:gridCol w:w="1435"/>
        <w:gridCol w:w="2692"/>
        <w:gridCol w:w="1436"/>
        <w:gridCol w:w="129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县区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学校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年级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课题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54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51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69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078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 w:val="32"/>
          <w:szCs w:val="32"/>
        </w:rPr>
      </w:pPr>
    </w:p>
    <w:sectPr>
      <w:pgSz w:w="16838" w:h="11906" w:orient="landscape"/>
      <w:pgMar w:top="1797" w:right="1440" w:bottom="1797" w:left="1440" w:header="709" w:footer="709" w:gutter="0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NiNDQ4YWQ0NzAwNGM3OTBjNWYyODFhNTZlYTM5Y2MifQ=="/>
  </w:docVars>
  <w:rsids>
    <w:rsidRoot w:val="00D31D50"/>
    <w:rsid w:val="00006558"/>
    <w:rsid w:val="0001096C"/>
    <w:rsid w:val="001772A3"/>
    <w:rsid w:val="001961BE"/>
    <w:rsid w:val="00197065"/>
    <w:rsid w:val="001C62FA"/>
    <w:rsid w:val="001F5257"/>
    <w:rsid w:val="00205211"/>
    <w:rsid w:val="00231E96"/>
    <w:rsid w:val="00290971"/>
    <w:rsid w:val="00323B43"/>
    <w:rsid w:val="00326DD2"/>
    <w:rsid w:val="003864F4"/>
    <w:rsid w:val="0039715F"/>
    <w:rsid w:val="003D37D8"/>
    <w:rsid w:val="003D6CE9"/>
    <w:rsid w:val="003F5D43"/>
    <w:rsid w:val="00426133"/>
    <w:rsid w:val="004358AB"/>
    <w:rsid w:val="004846DB"/>
    <w:rsid w:val="004F39AB"/>
    <w:rsid w:val="005C2973"/>
    <w:rsid w:val="006302AD"/>
    <w:rsid w:val="00676C0A"/>
    <w:rsid w:val="00691B8C"/>
    <w:rsid w:val="00710308"/>
    <w:rsid w:val="007500E8"/>
    <w:rsid w:val="00764482"/>
    <w:rsid w:val="007E2521"/>
    <w:rsid w:val="008052C7"/>
    <w:rsid w:val="008258BB"/>
    <w:rsid w:val="00831E81"/>
    <w:rsid w:val="00842037"/>
    <w:rsid w:val="008B7726"/>
    <w:rsid w:val="008E01EF"/>
    <w:rsid w:val="00972E5A"/>
    <w:rsid w:val="009C6CE1"/>
    <w:rsid w:val="00A630B3"/>
    <w:rsid w:val="00B2722D"/>
    <w:rsid w:val="00BA791E"/>
    <w:rsid w:val="00BC6871"/>
    <w:rsid w:val="00BD2BC8"/>
    <w:rsid w:val="00C7799E"/>
    <w:rsid w:val="00D26D10"/>
    <w:rsid w:val="00D30671"/>
    <w:rsid w:val="00D31D50"/>
    <w:rsid w:val="00D76DD9"/>
    <w:rsid w:val="00D812EE"/>
    <w:rsid w:val="00DC42E9"/>
    <w:rsid w:val="00E36EEA"/>
    <w:rsid w:val="00E5301B"/>
    <w:rsid w:val="00E70C9F"/>
    <w:rsid w:val="00E85B9F"/>
    <w:rsid w:val="00EA0DFA"/>
    <w:rsid w:val="00ED0FBC"/>
    <w:rsid w:val="00FA41E8"/>
    <w:rsid w:val="00FD15BC"/>
    <w:rsid w:val="00FE7A31"/>
    <w:rsid w:val="01F162B9"/>
    <w:rsid w:val="06ED4811"/>
    <w:rsid w:val="09B51CFB"/>
    <w:rsid w:val="0A9A2BD3"/>
    <w:rsid w:val="0E5E072D"/>
    <w:rsid w:val="121A1C1D"/>
    <w:rsid w:val="13034FDE"/>
    <w:rsid w:val="18B02F9A"/>
    <w:rsid w:val="1DC10C92"/>
    <w:rsid w:val="24147298"/>
    <w:rsid w:val="2E2F2D94"/>
    <w:rsid w:val="332E320A"/>
    <w:rsid w:val="375424B7"/>
    <w:rsid w:val="3A562776"/>
    <w:rsid w:val="44964784"/>
    <w:rsid w:val="46506FA0"/>
    <w:rsid w:val="474228CE"/>
    <w:rsid w:val="47723973"/>
    <w:rsid w:val="4BA30F08"/>
    <w:rsid w:val="5020438C"/>
    <w:rsid w:val="61AF52E4"/>
    <w:rsid w:val="793A6125"/>
    <w:rsid w:val="7FB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99"/>
    <w:pPr>
      <w:widowControl w:val="0"/>
      <w:adjustRightInd/>
      <w:snapToGrid/>
      <w:spacing w:after="0"/>
      <w:ind w:firstLine="480" w:firstLineChars="200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styleId="3">
    <w:name w:val="Date"/>
    <w:basedOn w:val="1"/>
    <w:next w:val="1"/>
    <w:link w:val="13"/>
    <w:qFormat/>
    <w:uiPriority w:val="99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宋体"/>
      <w:kern w:val="2"/>
      <w:sz w:val="28"/>
      <w:szCs w:val="24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页脚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正文文本缩进 Char"/>
    <w:basedOn w:val="6"/>
    <w:link w:val="2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3">
    <w:name w:val="日期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1135</Words>
  <Characters>1183</Characters>
  <Lines>10</Lines>
  <Paragraphs>2</Paragraphs>
  <TotalTime>6</TotalTime>
  <ScaleCrop>false</ScaleCrop>
  <LinksUpToDate>false</LinksUpToDate>
  <CharactersWithSpaces>1252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seven</cp:lastModifiedBy>
  <dcterms:modified xsi:type="dcterms:W3CDTF">2025-02-24T11:24:34Z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D38CDC053E064932B0F14716D1D07A3B</vt:lpwstr>
  </property>
</Properties>
</file>